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4570" w:type="dxa"/>
        <w:tblInd w:w="1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224"/>
        <w:gridCol w:w="3346"/>
      </w:tblGrid>
      <w:tr>
        <w:trPr/>
        <w:tc>
          <w:tcPr>
            <w:tcW w:w="11224" w:type="dxa"/>
            <w:textDirection w:val="lrTb"/>
            <w:noWrap w:val="false"/>
          </w:tcPr>
          <w:p>
            <w:pPr>
              <w:pStyle w:val="597"/>
              <w:ind w:left="0" w:right="-456" w:firstLine="0"/>
              <w:jc w:val="right"/>
              <w:spacing w:before="0"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346" w:type="dxa"/>
            <w:textDirection w:val="lrTb"/>
            <w:noWrap w:val="false"/>
          </w:tcPr>
          <w:p>
            <w:pPr>
              <w:pStyle w:val="597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УТВЕРЖДАЮ</w:t>
            </w:r>
            <w:r/>
          </w:p>
          <w:p>
            <w:pPr>
              <w:pStyle w:val="597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Глава Кисляковского</w:t>
            </w:r>
            <w:r/>
          </w:p>
          <w:p>
            <w:pPr>
              <w:pStyle w:val="597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</w:t>
            </w:r>
            <w:r/>
          </w:p>
          <w:p>
            <w:pPr>
              <w:pStyle w:val="597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Кущевского района</w:t>
            </w:r>
            <w:r/>
          </w:p>
          <w:p>
            <w:pPr>
              <w:pStyle w:val="597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________ Т.В.Полуян </w:t>
            </w:r>
            <w:r/>
          </w:p>
          <w:p>
            <w:pPr>
              <w:pStyle w:val="597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«    » _________ 2021 года</w:t>
            </w:r>
            <w:r/>
          </w:p>
        </w:tc>
      </w:tr>
    </w:tbl>
    <w:p>
      <w:pPr>
        <w:pStyle w:val="597"/>
        <w:ind w:left="0" w:right="-456" w:firstLine="0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</w:t>
      </w:r>
      <w:r/>
    </w:p>
    <w:p>
      <w:pPr>
        <w:pStyle w:val="597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устранению недостатков, выявленных в ходе независимой оценки качества условий оказания услуг</w:t>
      </w:r>
      <w:r/>
    </w:p>
    <w:p>
      <w:pPr>
        <w:pStyle w:val="597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учреждении культуры «Дом культуры ст.Кисляковской»</w:t>
      </w:r>
      <w:r/>
    </w:p>
    <w:p>
      <w:pPr>
        <w:pStyle w:val="597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2020 году</w:t>
      </w:r>
      <w:r/>
    </w:p>
    <w:p>
      <w:pPr>
        <w:pStyle w:val="597"/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14601" w:type="dxa"/>
        <w:tblInd w:w="-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19"/>
        <w:gridCol w:w="2919"/>
        <w:gridCol w:w="2921"/>
        <w:gridCol w:w="2919"/>
        <w:gridCol w:w="2923"/>
      </w:tblGrid>
      <w:tr>
        <w:trPr>
          <w:trHeight w:val="758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оценки качества условий оказания услуг учреждением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оценки качества условий оказания услуг учреждением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21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Плановый срок реализации мероприятия</w:t>
            </w:r>
            <w:r/>
          </w:p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(с указанием конкретного месяца)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vMerge w:val="restart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исполнитель (с указанием фамилии, имени, отчества и должности)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23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</w:t>
            </w:r>
            <w:r/>
          </w:p>
        </w:tc>
      </w:tr>
      <w:tr>
        <w:trPr>
          <w:trHeight w:val="757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Фактический срок реализации</w:t>
            </w:r>
            <w:r/>
          </w:p>
        </w:tc>
        <w:tc>
          <w:tcPr>
            <w:tcMar>
              <w:left w:w="0" w:type="dxa"/>
              <w:right w:w="0" w:type="dxa"/>
            </w:tcMar>
            <w:tcW w:w="2921" w:type="dxa"/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vMerge w:val="restart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/>
        <w:tc>
          <w:tcPr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8759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I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. Открытость и доступность информации об организации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vMerge w:val="restart"/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cMar>
              <w:left w:w="0" w:type="dxa"/>
              <w:right w:w="0" w:type="dxa"/>
            </w:tcMar>
            <w:tcW w:w="2923" w:type="dxa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/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Наличие недостатков, касающихся  актуальности размещения информации о деятельности учреждения на официальном сайте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Проводить регулярный мониторинг официального сайта https://дк-кисляковской.рф/ на предмет актуальности размещённой информации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21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vMerge w:val="continue"/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23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Яковенко Анна Петровна,</w:t>
            </w:r>
            <w:r/>
          </w:p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/>
          </w:p>
        </w:tc>
      </w:tr>
      <w:tr>
        <w:trPr/>
        <w:tc>
          <w:tcPr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8759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II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. Комфортность условий предоставления услуг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vMerge w:val="continue"/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cMar>
              <w:left w:w="0" w:type="dxa"/>
              <w:right w:w="0" w:type="dxa"/>
            </w:tcMar>
            <w:tcW w:w="2923" w:type="dxa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1607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здании учреждения культуры требует капитального ремонта концертный</w:t>
            </w:r>
            <w:r>
              <w:rPr>
                <w:rFonts w:eastAsia="Times New Roman" w:cs="Times New Roman"/>
                <w:lang w:eastAsia="ru-RU"/>
              </w:rPr>
              <w:t xml:space="preserve"> зал (сцена, оркестровая яма)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Рассмотреть возможность капитального ремонта концертного зала в здании учреждения культуры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21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квартал </w:t>
            </w:r>
            <w:r/>
          </w:p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года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Яковенко Анна Петровна,</w:t>
            </w:r>
            <w:r/>
          </w:p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23" w:type="dxa"/>
            <w:textDirection w:val="lrTb"/>
            <w:noWrap w:val="false"/>
          </w:tcPr>
          <w:p>
            <w:pPr>
              <w:pStyle w:val="597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607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здании учреждения культуры не установлены сплит-системы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Рассмотреть возможность приобретения и установки сплит-систем в здании учреждения культуры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21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квартал </w:t>
            </w:r>
            <w:r/>
          </w:p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года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Яковенко Анна Петровна,</w:t>
            </w:r>
            <w:r/>
          </w:p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23" w:type="dxa"/>
            <w:textDirection w:val="lrTb"/>
            <w:noWrap w:val="false"/>
          </w:tcPr>
          <w:p>
            <w:pPr>
              <w:pStyle w:val="597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  <w:r/>
          </w:p>
        </w:tc>
      </w:tr>
      <w:tr>
        <w:trPr>
          <w:trHeight w:val="1607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В учреждении культуры отсутствуют новые сценические костюмы для участников художественной самодеятельности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Рассмотреть возможность приобретения или пошива новых сценических костюмов для участников художественной самодеятельности учреждения культуры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21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квартал </w:t>
            </w:r>
            <w:r/>
          </w:p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года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Яковенко Анна Петровна,</w:t>
            </w:r>
            <w:r/>
          </w:p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23" w:type="dxa"/>
            <w:textDirection w:val="lrTb"/>
            <w:noWrap w:val="false"/>
          </w:tcPr>
          <w:p>
            <w:pPr>
              <w:pStyle w:val="597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  <w:r/>
          </w:p>
        </w:tc>
      </w:tr>
      <w:tr>
        <w:trPr>
          <w:trHeight w:val="1607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В учреждении культуры отсутствует обновленная музыкальная аппаратура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Рассмотреть возможность обновления музыкальной аппаратуры в учреждении культуры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21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квартал </w:t>
            </w:r>
            <w:r/>
          </w:p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года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Яковенко Анна Петровна,</w:t>
            </w:r>
            <w:r/>
          </w:p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23" w:type="dxa"/>
            <w:textDirection w:val="lrTb"/>
            <w:noWrap w:val="false"/>
          </w:tcPr>
          <w:p>
            <w:pPr>
              <w:pStyle w:val="597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  <w:r/>
          </w:p>
        </w:tc>
      </w:tr>
      <w:tr>
        <w:trPr>
          <w:trHeight w:val="1607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На территории учреждения культуры находится уличный туалет, требующий ремонта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Рассмотреть возможность ремонта уличного туалета на территории учреждения культуры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21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квартал </w:t>
            </w:r>
            <w:r/>
          </w:p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года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Яковенко Анна Петровна,</w:t>
            </w:r>
            <w:r/>
          </w:p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23" w:type="dxa"/>
            <w:textDirection w:val="lrTb"/>
            <w:noWrap w:val="false"/>
          </w:tcPr>
          <w:p>
            <w:pPr>
              <w:pStyle w:val="597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  <w:r/>
          </w:p>
        </w:tc>
      </w:tr>
      <w:tr>
        <w:trPr/>
        <w:tc>
          <w:tcPr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4601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III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. Доступность услуг для инвалидов</w:t>
            </w:r>
            <w:r/>
          </w:p>
        </w:tc>
      </w:tr>
      <w:tr>
        <w:trPr/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здании учреждения культуры отсутствует специально оборудованное санитарно-гигиеническое помещение для инвалидов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Рассмотреть возможность по оборудованию специального санитарно-гигиенического помещения для инвалидов в здании учреждения культуры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21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квартал </w:t>
            </w:r>
            <w:r/>
          </w:p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года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Яковенко Анна Петровна,</w:t>
            </w:r>
            <w:r/>
          </w:p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23" w:type="dxa"/>
            <w:textDirection w:val="lrTb"/>
            <w:noWrap w:val="false"/>
          </w:tcPr>
          <w:p>
            <w:pPr>
              <w:pStyle w:val="597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учреждении не предусмотрено дублирование 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для инвалидов по слуху и зрению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звуковой и зрительной информации 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Рассмотреть  возможность дублирования 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для инвалидов по слуху и зрению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звуковой и зрительной информации 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21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квартал </w:t>
            </w:r>
            <w:r/>
          </w:p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года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Яковенко Анна Петровна,</w:t>
            </w:r>
            <w:r/>
          </w:p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23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учреждении отсутствует дублирование надписей, знаков и иной текстовой и графической информации знаками, выполненными рельефно-точечным шрифтом Брайля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Обеспечить возможность  дублирования надписей, знаков и иной текстовой и графической информации знаками, выполненными рельефно-точечным шрифтом Брайля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21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квартал</w:t>
            </w:r>
            <w:r/>
          </w:p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года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Яковенко Анна Петровна,</w:t>
            </w:r>
            <w:r/>
          </w:p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23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учреждении не предусмотрена возможность предоставления инвалидам по слуху (слуху и зрению) услуг сурдопереводчика (тифлосурдопереводчика)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Рассмотреть  возможность предоставления инвалидам по слуху (слуху и зрению) услуг сурдопереводчика (тифлосурдопереводчика)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21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квартал</w:t>
            </w:r>
            <w:r/>
          </w:p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года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Яковенко Анна Петровна,</w:t>
            </w:r>
            <w:r/>
          </w:p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23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учреждении не предусмотрено наличие </w:t>
            </w:r>
            <w:r>
              <w:rPr>
                <w:rFonts w:eastAsia="Times New Roman" w:cs="Times New Roman"/>
                <w:lang w:eastAsia="ru-RU"/>
              </w:rPr>
              <w:t xml:space="preserve">специальных сменных кресел-колясок для лиц с ОВЗ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Рассмотреть возможность приобретения специальных сменных кресел-колясок для лиц с ОВЗ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21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квартал</w:t>
            </w:r>
            <w:r/>
          </w:p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года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Яковенко Анна Петровна,</w:t>
            </w:r>
            <w:r/>
          </w:p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23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учреждении отсутствует </w:t>
            </w:r>
            <w:r>
              <w:rPr>
                <w:rFonts w:eastAsia="Times New Roman" w:cs="Times New Roman"/>
                <w:lang w:eastAsia="ru-RU"/>
              </w:rPr>
              <w:t xml:space="preserve">возможность предоставления услуг в дистанционном режиме или на дому.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spacing w:before="0"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Рассмотреть возможность предоставления услуг в дистанционном режиме или на дому.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21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квартал</w:t>
            </w:r>
            <w:r/>
          </w:p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года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19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Яковенко Анна Петровна,</w:t>
            </w:r>
            <w:r/>
          </w:p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923" w:type="dxa"/>
            <w:textDirection w:val="lrTb"/>
            <w:noWrap w:val="false"/>
          </w:tcPr>
          <w:p>
            <w:pPr>
              <w:pStyle w:val="597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  <w:r/>
          </w:p>
        </w:tc>
      </w:tr>
    </w:tbl>
    <w:p>
      <w:pPr>
        <w:pStyle w:val="597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муниципального учреждения культуры</w:t>
      </w:r>
      <w:r/>
    </w:p>
    <w:p>
      <w:pPr>
        <w:pStyle w:val="59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«Дом культуры станицы Кисляковской»                                                                                                                  А.П.Яковенко</w:t>
      </w:r>
      <w:r/>
    </w:p>
    <w:sectPr>
      <w:footnotePr/>
      <w:endnotePr/>
      <w:type w:val="nextPage"/>
      <w:pgSz w:w="16838" w:h="11906" w:orient="landscape"/>
      <w:pgMar w:top="1701" w:right="1134" w:bottom="567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aHei">
    <w:panose1 w:val="020F050202020403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DejaVu Sans">
    <w:panose1 w:val="020B0603030804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SimSun" w:cs="DejaVu Sans"/>
        <w:sz w:val="22"/>
        <w:szCs w:val="22"/>
        <w:lang w:val="ru-RU" w:eastAsia="en-US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7"/>
    <w:next w:val="5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8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7"/>
    <w:next w:val="5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8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7"/>
    <w:next w:val="5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8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7"/>
    <w:next w:val="5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8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8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8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8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8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8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7"/>
    <w:next w:val="5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8"/>
    <w:link w:val="33"/>
    <w:uiPriority w:val="10"/>
    <w:rPr>
      <w:sz w:val="48"/>
      <w:szCs w:val="48"/>
    </w:rPr>
  </w:style>
  <w:style w:type="paragraph" w:styleId="35">
    <w:name w:val="Subtitle"/>
    <w:basedOn w:val="597"/>
    <w:next w:val="59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8"/>
    <w:link w:val="35"/>
    <w:uiPriority w:val="11"/>
    <w:rPr>
      <w:sz w:val="24"/>
      <w:szCs w:val="24"/>
    </w:r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8"/>
    <w:link w:val="41"/>
    <w:uiPriority w:val="99"/>
  </w:style>
  <w:style w:type="paragraph" w:styleId="43">
    <w:name w:val="Footer"/>
    <w:basedOn w:val="5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8"/>
    <w:link w:val="43"/>
    <w:uiPriority w:val="99"/>
  </w:style>
  <w:style w:type="character" w:styleId="46">
    <w:name w:val="Caption Char"/>
    <w:basedOn w:val="603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8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8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  <w:pPr>
      <w:numPr>
        <w:ilvl w:val="0"/>
        <w:numId w:val="0"/>
      </w:numPr>
      <w:spacing w:before="0" w:after="0" w:line="240" w:lineRule="auto"/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598" w:default="1">
    <w:name w:val="Default Paragraph Font"/>
    <w:qFormat/>
  </w:style>
  <w:style w:type="character" w:styleId="599">
    <w:name w:val="Hyperlink"/>
    <w:basedOn w:val="598"/>
    <w:rPr>
      <w:color w:val="0000ff"/>
      <w:u w:val="single"/>
    </w:rPr>
  </w:style>
  <w:style w:type="paragraph" w:styleId="600">
    <w:name w:val="Heading"/>
    <w:basedOn w:val="597"/>
    <w:next w:val="601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601">
    <w:name w:val="Body Text"/>
    <w:basedOn w:val="597"/>
    <w:pPr>
      <w:spacing w:before="0" w:after="120"/>
    </w:pPr>
  </w:style>
  <w:style w:type="paragraph" w:styleId="602">
    <w:name w:val="List"/>
    <w:basedOn w:val="601"/>
    <w:rPr>
      <w:rFonts w:cs="Arial"/>
    </w:rPr>
  </w:style>
  <w:style w:type="paragraph" w:styleId="603">
    <w:name w:val="Caption"/>
    <w:basedOn w:val="59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604">
    <w:name w:val="Index"/>
    <w:basedOn w:val="597"/>
    <w:qFormat/>
    <w:pPr>
      <w:suppressLineNumbers/>
    </w:pPr>
    <w:rPr>
      <w:rFonts w:cs="Arial"/>
    </w:rPr>
  </w:style>
  <w:style w:type="paragraph" w:styleId="605">
    <w:name w:val="Table Contents"/>
    <w:basedOn w:val="597"/>
    <w:qFormat/>
    <w:pPr>
      <w:widowControl w:val="off"/>
      <w:suppressLineNumbers/>
    </w:pPr>
  </w:style>
  <w:style w:type="numbering" w:styleId="1576" w:default="1">
    <w:name w:val="No List"/>
    <w:uiPriority w:val="99"/>
    <w:semiHidden/>
    <w:unhideWhenUsed/>
  </w:style>
  <w:style w:type="table" w:styleId="157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dc:language>en-US</dc:language>
  <cp:lastModifiedBy>Власть Инфо</cp:lastModifiedBy>
  <cp:revision>3</cp:revision>
  <dcterms:created xsi:type="dcterms:W3CDTF">2021-03-29T15:29:00Z</dcterms:created>
  <dcterms:modified xsi:type="dcterms:W3CDTF">2023-05-12T15:00:27Z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